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sz w:val="2"/>
          <w:szCs w:val="2"/>
        </w:rPr>
      </w:pPr>
      <w:r w:rsidDel="00000000" w:rsidR="00000000" w:rsidRPr="00000000">
        <w:rPr>
          <w:rtl w:val="0"/>
        </w:rPr>
      </w:r>
    </w:p>
    <w:tbl>
      <w:tblPr>
        <w:tblStyle w:val="Table1"/>
        <w:tblW w:w="10200.0" w:type="dxa"/>
        <w:jc w:val="left"/>
        <w:tblInd w:w="-567.0" w:type="dxa"/>
        <w:tblBorders>
          <w:bottom w:color="000000" w:space="0" w:sz="24" w:val="single"/>
        </w:tblBorders>
        <w:tblLayout w:type="fixed"/>
        <w:tblLook w:val="0000"/>
      </w:tblPr>
      <w:tblGrid>
        <w:gridCol w:w="1417"/>
        <w:gridCol w:w="7366"/>
        <w:gridCol w:w="1417"/>
        <w:tblGridChange w:id="0">
          <w:tblGrid>
            <w:gridCol w:w="1417"/>
            <w:gridCol w:w="7366"/>
            <w:gridCol w:w="1417"/>
          </w:tblGrid>
        </w:tblGridChange>
      </w:tblGrid>
      <w:tr>
        <w:trPr>
          <w:cantSplit w:val="0"/>
          <w:trHeight w:val="1548" w:hRule="atLeast"/>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right="-251"/>
              <w:jc w:val="center"/>
              <w:rPr>
                <w:color w:val="000000"/>
                <w:u w:val="single"/>
              </w:rPr>
            </w:pPr>
            <w:bookmarkStart w:colFirst="0" w:colLast="0" w:name="_heading=h.gjdgxs" w:id="0"/>
            <w:bookmarkEnd w:id="0"/>
            <w:r w:rsidDel="00000000" w:rsidR="00000000" w:rsidRPr="00000000">
              <w:rPr>
                <w:color w:val="000000"/>
                <w:rtl w:val="0"/>
              </w:rPr>
              <w:t xml:space="preserve">   </w:t>
            </w:r>
            <w:r w:rsidDel="00000000" w:rsidR="00000000" w:rsidRPr="00000000">
              <w:rPr>
                <w:color w:val="000000"/>
              </w:rPr>
              <w:pict>
                <v:shape id="_x0000_s0" style="width:48.15pt;height:66.35pt;visibility:visible" o:spid="_x0000_i1037" o:ole="" type="#_x0000_t75">
                  <v:imagedata r:id="rId1" o:title=""/>
                  <v:path o:extrusionok="t"/>
                </v:shape>
                <o:OLEObject DrawAspect="Content" r:id="rId2" ObjectID="_1790593991" ProgID="ShapewareVISIO20" ShapeID="_x0000_s0" Type="Embed"/>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 name=""/>
                      <a:graphic>
                        <a:graphicData uri="http://schemas.microsoft.com/office/word/2010/wordprocessingShape">
                          <wps:wsp>
                            <wps:cNvSpPr/>
                            <wps:cNvPr id="2" name="Shape 2"/>
                            <wps:spPr>
                              <a:xfrm>
                                <a:off x="5028500" y="3462500"/>
                                <a:ext cx="635000" cy="63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4050" cy="654050"/>
                      <wp:effectExtent b="0" l="0" r="0" t="0"/>
                      <wp:wrapNone/>
                      <wp:docPr id="104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4050" cy="654050"/>
                              </a:xfrm>
                              <a:prstGeom prst="rect"/>
                              <a:ln/>
                            </pic:spPr>
                          </pic:pic>
                        </a:graphicData>
                      </a:graphic>
                    </wp:anchor>
                  </w:drawing>
                </mc:Fallback>
              </mc:AlternateContent>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ind w:hanging="3"/>
              <w:jc w:val="center"/>
              <w:rPr>
                <w:color w:val="000000"/>
              </w:rPr>
            </w:pPr>
            <w:r w:rsidDel="00000000" w:rsidR="00000000" w:rsidRPr="00000000">
              <w:rPr>
                <w:b w:val="1"/>
                <w:color w:val="000000"/>
                <w:rtl w:val="0"/>
              </w:rPr>
              <w:t xml:space="preserve">КОМУНАЛЬНИЙ ЗАКЛАД</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«ХАРКІВСЬКИЙ ЛІЦЕЙ № 97</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ХАРКІВСЬКОЇ МІСЬКОЇ РАДИ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1"/>
                <w:szCs w:val="21"/>
                <w:rtl w:val="0"/>
              </w:rPr>
              <w:t xml:space="preserve">вул. Гвардійців Широнінців, 5-Г,</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hanging="2"/>
              <w:jc w:val="center"/>
              <w:rPr>
                <w:rFonts w:ascii="Verdana" w:cs="Verdana" w:eastAsia="Verdana" w:hAnsi="Verdana"/>
                <w:i w:val="1"/>
                <w:color w:val="000000"/>
              </w:rPr>
            </w:pPr>
            <w:r w:rsidDel="00000000" w:rsidR="00000000" w:rsidRPr="00000000">
              <w:rPr>
                <w:color w:val="000000"/>
                <w:sz w:val="21"/>
                <w:szCs w:val="21"/>
                <w:rtl w:val="0"/>
              </w:rPr>
              <w:t xml:space="preserve">м. Харків, 61153</w:t>
            </w:r>
            <w:r w:rsidDel="00000000" w:rsidR="00000000" w:rsidRPr="00000000">
              <w:rPr>
                <w:rtl w:val="0"/>
              </w:rPr>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hanging="205"/>
              <w:jc w:val="center"/>
              <w:rPr>
                <w:color w:val="000000"/>
              </w:rPr>
            </w:pPr>
            <w:r w:rsidDel="00000000" w:rsidR="00000000" w:rsidRPr="00000000">
              <w:rPr>
                <w:color w:val="000000"/>
                <w:rtl w:val="0"/>
              </w:rPr>
              <w:t xml:space="preserve">    </w:t>
            </w:r>
            <w:r w:rsidDel="00000000" w:rsidR="00000000" w:rsidRPr="00000000">
              <w:rPr>
                <w:color w:val="000000"/>
              </w:rPr>
              <w:drawing>
                <wp:inline distB="0" distT="0" distL="114300" distR="114300">
                  <wp:extent cx="678180" cy="894080"/>
                  <wp:effectExtent b="0" l="0" r="0" t="0"/>
                  <wp:docPr id="104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78180" cy="8940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jc w:val="center"/>
        <w:rPr>
          <w:b w:val="1"/>
          <w:color w:val="000000"/>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НАКАЗ</w:t>
      </w:r>
    </w:p>
    <w:p w:rsidR="00000000" w:rsidDel="00000000" w:rsidP="00000000" w:rsidRDefault="00000000" w:rsidRPr="00000000" w14:paraId="0000000C">
      <w:pPr>
        <w:rPr/>
      </w:pPr>
      <w:r w:rsidDel="00000000" w:rsidR="00000000" w:rsidRPr="00000000">
        <w:rPr>
          <w:sz w:val="28"/>
          <w:szCs w:val="28"/>
          <w:rtl w:val="0"/>
        </w:rPr>
        <w:t xml:space="preserve">11.10.2024</w:t>
        <w:tab/>
        <w:tab/>
        <w:tab/>
        <w:tab/>
        <w:tab/>
        <w:tab/>
        <w:tab/>
        <w:tab/>
        <w:t xml:space="preserve">                      </w:t>
        <w:tab/>
        <w:t xml:space="preserve">№110</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rtl w:val="0"/>
        </w:rPr>
      </w:r>
    </w:p>
    <w:p w:rsidR="00000000" w:rsidDel="00000000" w:rsidP="00000000" w:rsidRDefault="00000000" w:rsidRPr="00000000" w14:paraId="0000000F">
      <w:pPr>
        <w:jc w:val="both"/>
        <w:rPr>
          <w:sz w:val="28"/>
          <w:szCs w:val="28"/>
        </w:rPr>
      </w:pPr>
      <w:r w:rsidDel="00000000" w:rsidR="00000000" w:rsidRPr="00000000">
        <w:rPr>
          <w:sz w:val="28"/>
          <w:szCs w:val="28"/>
          <w:rtl w:val="0"/>
        </w:rPr>
        <w:t xml:space="preserve">Про закріплення території обслуговування</w:t>
      </w:r>
    </w:p>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за закладом освіти на 2025/2026 навчальний рік </w:t>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color w:val="ff0000"/>
        </w:rPr>
      </w:pPr>
      <w:r w:rsidDel="00000000" w:rsidR="00000000" w:rsidRPr="00000000">
        <w:rPr>
          <w:rtl w:val="0"/>
        </w:rPr>
      </w:r>
    </w:p>
    <w:tbl>
      <w:tblPr>
        <w:tblStyle w:val="Table2"/>
        <w:tblW w:w="93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5"/>
        <w:tblGridChange w:id="0">
          <w:tblGrid>
            <w:gridCol w:w="93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3">
            <w:pPr>
              <w:ind w:right="-3"/>
              <w:jc w:val="both"/>
              <w:rPr>
                <w:sz w:val="28"/>
                <w:szCs w:val="28"/>
              </w:rPr>
            </w:pPr>
            <w:r w:rsidDel="00000000" w:rsidR="00000000" w:rsidRPr="00000000">
              <w:rPr>
                <w:color w:val="ff0000"/>
                <w:sz w:val="28"/>
                <w:szCs w:val="28"/>
                <w:rtl w:val="0"/>
              </w:rPr>
              <w:tab/>
            </w:r>
            <w:r w:rsidDel="00000000" w:rsidR="00000000" w:rsidRPr="00000000">
              <w:rPr>
                <w:sz w:val="28"/>
                <w:szCs w:val="28"/>
                <w:rtl w:val="0"/>
              </w:rPr>
              <w:t xml:space="preserve">На виконання законів України «Про освіту», «Про повну загальну середню освіту», «Про місцеве самоврядування в Україні», постанови Кабінету Міністрів України від 13.09.2017 № 684 «Про затвердження Порядку   ведення  обліку дітей дошкільного, шкільного віку та учнів» (зі змінами),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керуючись п.6.3. Положення про Адміністрацію Салтівського району Харківської міської ради, затвердженого рішенням 1 сесії Харківської міської ради 8 скликання від 09.12.2020 № 7/20 «Про затвердження положень виконавчих органів Харківської міської ради 8 скликання» (зі змінами), наказу Адміністрації Салтівського району Харківської міської ради від 01.10.2024 № 95 «Про закріплення території обслуговування за комунальними закладами загальної середньої освіти   Салтівського району на 2025/2026 навчальний рік»,</w:t>
            </w:r>
          </w:p>
          <w:p w:rsidR="00000000" w:rsidDel="00000000" w:rsidP="00000000" w:rsidRDefault="00000000" w:rsidRPr="00000000" w14:paraId="00000014">
            <w:pPr>
              <w:ind w:right="-3"/>
              <w:jc w:val="both"/>
              <w:rPr>
                <w:sz w:val="28"/>
                <w:szCs w:val="28"/>
              </w:rPr>
            </w:pPr>
            <w:r w:rsidDel="00000000" w:rsidR="00000000" w:rsidRPr="00000000">
              <w:rPr>
                <w:rtl w:val="0"/>
              </w:rPr>
            </w:r>
          </w:p>
        </w:tc>
      </w:tr>
    </w:tbl>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НАКАЗУЮ:</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Взяти до відома закріплену за закладом територію обслуговування згідно наказу Адміністрації Салтівського району Харківської міської ради від 01.10.2024 № 95 «Про закріплення території обслуговування за комунальними закладами загальної середньої освіти Салтівського району на 2025/2026 навчальний рік», (додаток 1).</w:t>
      </w:r>
    </w:p>
    <w:p w:rsidR="00000000" w:rsidDel="00000000" w:rsidP="00000000" w:rsidRDefault="00000000" w:rsidRPr="00000000" w14:paraId="0000001A">
      <w:pPr>
        <w:tabs>
          <w:tab w:val="left" w:leader="none" w:pos="0"/>
          <w:tab w:val="left" w:leader="none" w:pos="284"/>
        </w:tabs>
        <w:jc w:val="both"/>
        <w:rPr>
          <w:sz w:val="28"/>
          <w:szCs w:val="28"/>
        </w:rPr>
      </w:pPr>
      <w:r w:rsidDel="00000000" w:rsidR="00000000" w:rsidRPr="00000000">
        <w:rPr>
          <w:sz w:val="28"/>
          <w:szCs w:val="28"/>
          <w:rtl w:val="0"/>
        </w:rPr>
        <w:t xml:space="preserve">2. Контроль за виконанням цього наказу залишаю за собою.</w:t>
      </w:r>
    </w:p>
    <w:p w:rsidR="00000000" w:rsidDel="00000000" w:rsidP="00000000" w:rsidRDefault="00000000" w:rsidRPr="00000000" w14:paraId="0000001B">
      <w:pPr>
        <w:rPr>
          <w:sz w:val="10"/>
          <w:szCs w:val="10"/>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sz w:val="28"/>
          <w:szCs w:val="28"/>
          <w:rtl w:val="0"/>
        </w:rPr>
        <w:t xml:space="preserve">Додаток на 1 аркуші.</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pacing w:line="360" w:lineRule="auto"/>
        <w:jc w:val="both"/>
        <w:rPr>
          <w:sz w:val="28"/>
          <w:szCs w:val="28"/>
        </w:rPr>
      </w:pPr>
      <w:r w:rsidDel="00000000" w:rsidR="00000000" w:rsidRPr="00000000">
        <w:rPr>
          <w:sz w:val="28"/>
          <w:szCs w:val="28"/>
          <w:rtl w:val="0"/>
        </w:rPr>
        <w:tab/>
        <w:tab/>
        <w:t xml:space="preserve">Директор</w:t>
        <w:tab/>
        <w:tab/>
        <w:tab/>
        <w:tab/>
        <w:tab/>
        <w:t xml:space="preserve">Людмила БАДЬОРНА</w:t>
      </w:r>
    </w:p>
    <w:p w:rsidR="00000000" w:rsidDel="00000000" w:rsidP="00000000" w:rsidRDefault="00000000" w:rsidRPr="00000000" w14:paraId="00000020">
      <w:pPr>
        <w:spacing w:line="360" w:lineRule="auto"/>
        <w:jc w:val="both"/>
        <w:rPr>
          <w:sz w:val="28"/>
          <w:szCs w:val="28"/>
        </w:rPr>
        <w:sectPr>
          <w:headerReference r:id="rId11" w:type="even"/>
          <w:pgSz w:h="16838" w:w="11906" w:orient="portrait"/>
          <w:pgMar w:bottom="1134" w:top="568" w:left="1701" w:right="850" w:header="284" w:footer="708"/>
          <w:pgNumType w:start="1"/>
        </w:sectPr>
      </w:pPr>
      <w:r w:rsidDel="00000000" w:rsidR="00000000" w:rsidRPr="00000000">
        <w:rPr>
          <w:sz w:val="22"/>
          <w:szCs w:val="22"/>
          <w:rtl w:val="0"/>
        </w:rPr>
        <w:t xml:space="preserve">Бадьорна 725 15 09</w:t>
      </w:r>
      <w:r w:rsidDel="00000000" w:rsidR="00000000" w:rsidRPr="00000000">
        <w:rPr>
          <w:rtl w:val="0"/>
        </w:rPr>
      </w:r>
    </w:p>
    <w:p w:rsidR="00000000" w:rsidDel="00000000" w:rsidP="00000000" w:rsidRDefault="00000000" w:rsidRPr="00000000" w14:paraId="00000021">
      <w:pPr>
        <w:ind w:left="3828" w:firstLine="0"/>
        <w:rPr/>
      </w:pPr>
      <w:r w:rsidDel="00000000" w:rsidR="00000000" w:rsidRPr="00000000">
        <w:rPr>
          <w:sz w:val="28"/>
          <w:szCs w:val="28"/>
          <w:rtl w:val="0"/>
        </w:rPr>
        <w:t xml:space="preserve">Додаток</w:t>
      </w:r>
      <w:r w:rsidDel="00000000" w:rsidR="00000000" w:rsidRPr="00000000">
        <w:rPr>
          <w:rtl w:val="0"/>
        </w:rPr>
        <w:t xml:space="preserve"> № 1</w:t>
      </w:r>
    </w:p>
    <w:p w:rsidR="00000000" w:rsidDel="00000000" w:rsidP="00000000" w:rsidRDefault="00000000" w:rsidRPr="00000000" w14:paraId="00000022">
      <w:pPr>
        <w:ind w:left="3828" w:firstLine="0"/>
        <w:rPr>
          <w:sz w:val="28"/>
          <w:szCs w:val="28"/>
        </w:rPr>
      </w:pPr>
      <w:r w:rsidDel="00000000" w:rsidR="00000000" w:rsidRPr="00000000">
        <w:rPr>
          <w:sz w:val="28"/>
          <w:szCs w:val="28"/>
          <w:rtl w:val="0"/>
        </w:rPr>
        <w:t xml:space="preserve">до наказу КЗ «ХЛ № 97 ХМР» </w:t>
      </w:r>
    </w:p>
    <w:p w:rsidR="00000000" w:rsidDel="00000000" w:rsidP="00000000" w:rsidRDefault="00000000" w:rsidRPr="00000000" w14:paraId="00000023">
      <w:pPr>
        <w:ind w:left="3828" w:firstLine="0"/>
        <w:rPr>
          <w:sz w:val="28"/>
          <w:szCs w:val="28"/>
        </w:rPr>
      </w:pPr>
      <w:r w:rsidDel="00000000" w:rsidR="00000000" w:rsidRPr="00000000">
        <w:rPr>
          <w:sz w:val="28"/>
          <w:szCs w:val="28"/>
          <w:rtl w:val="0"/>
        </w:rPr>
        <w:t xml:space="preserve">від 11.10.2024 № 110</w:t>
      </w:r>
    </w:p>
    <w:p w:rsidR="00000000" w:rsidDel="00000000" w:rsidP="00000000" w:rsidRDefault="00000000" w:rsidRPr="00000000" w14:paraId="00000024">
      <w:pPr>
        <w:ind w:left="3828" w:firstLine="0"/>
        <w:rPr>
          <w:sz w:val="28"/>
          <w:szCs w:val="28"/>
        </w:rPr>
      </w:pPr>
      <w:r w:rsidDel="00000000" w:rsidR="00000000" w:rsidRPr="00000000">
        <w:rPr>
          <w:sz w:val="28"/>
          <w:szCs w:val="28"/>
          <w:rtl w:val="0"/>
        </w:rPr>
        <w:t xml:space="preserve">«Про закріплення території обслуговування</w:t>
      </w:r>
    </w:p>
    <w:p w:rsidR="00000000" w:rsidDel="00000000" w:rsidP="00000000" w:rsidRDefault="00000000" w:rsidRPr="00000000" w14:paraId="00000025">
      <w:pPr>
        <w:ind w:left="3828" w:firstLine="0"/>
        <w:rPr>
          <w:sz w:val="28"/>
          <w:szCs w:val="28"/>
        </w:rPr>
      </w:pPr>
      <w:r w:rsidDel="00000000" w:rsidR="00000000" w:rsidRPr="00000000">
        <w:rPr>
          <w:sz w:val="28"/>
          <w:szCs w:val="28"/>
          <w:rtl w:val="0"/>
        </w:rPr>
        <w:t xml:space="preserve">за закладом освіти на 2025/2026 навчальний рік»</w:t>
      </w:r>
    </w:p>
    <w:p w:rsidR="00000000" w:rsidDel="00000000" w:rsidP="00000000" w:rsidRDefault="00000000" w:rsidRPr="00000000" w14:paraId="00000026">
      <w:pPr>
        <w:jc w:val="right"/>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sz w:val="28"/>
          <w:szCs w:val="28"/>
        </w:rPr>
      </w:pPr>
      <w:r w:rsidDel="00000000" w:rsidR="00000000" w:rsidRPr="00000000">
        <w:rPr>
          <w:sz w:val="28"/>
          <w:szCs w:val="28"/>
          <w:rtl w:val="0"/>
        </w:rPr>
        <w:t xml:space="preserve">ЗАКРІПЛЕННЯ</w:t>
      </w:r>
    </w:p>
    <w:p w:rsidR="00000000" w:rsidDel="00000000" w:rsidP="00000000" w:rsidRDefault="00000000" w:rsidRPr="00000000" w14:paraId="0000002A">
      <w:pPr>
        <w:jc w:val="center"/>
        <w:rPr>
          <w:sz w:val="28"/>
          <w:szCs w:val="28"/>
        </w:rPr>
      </w:pPr>
      <w:r w:rsidDel="00000000" w:rsidR="00000000" w:rsidRPr="00000000">
        <w:rPr>
          <w:sz w:val="28"/>
          <w:szCs w:val="28"/>
          <w:rtl w:val="0"/>
        </w:rPr>
        <w:t xml:space="preserve">території району за закладом освіти</w:t>
      </w:r>
    </w:p>
    <w:p w:rsidR="00000000" w:rsidDel="00000000" w:rsidP="00000000" w:rsidRDefault="00000000" w:rsidRPr="00000000" w14:paraId="0000002B">
      <w:pPr>
        <w:jc w:val="center"/>
        <w:rPr>
          <w:sz w:val="28"/>
          <w:szCs w:val="28"/>
        </w:rPr>
      </w:pPr>
      <w:r w:rsidDel="00000000" w:rsidR="00000000" w:rsidRPr="00000000">
        <w:rPr>
          <w:rtl w:val="0"/>
        </w:rPr>
      </w:r>
    </w:p>
    <w:p w:rsidR="00000000" w:rsidDel="00000000" w:rsidP="00000000" w:rsidRDefault="00000000" w:rsidRPr="00000000" w14:paraId="0000002C">
      <w:pPr>
        <w:spacing w:line="276" w:lineRule="auto"/>
        <w:jc w:val="center"/>
        <w:rPr/>
      </w:pPr>
      <w:r w:rsidDel="00000000" w:rsidR="00000000" w:rsidRPr="00000000">
        <w:rPr>
          <w:rtl w:val="0"/>
        </w:rPr>
      </w:r>
    </w:p>
    <w:p w:rsidR="00000000" w:rsidDel="00000000" w:rsidP="00000000" w:rsidRDefault="00000000" w:rsidRPr="00000000" w14:paraId="0000002D">
      <w:pPr>
        <w:spacing w:line="276" w:lineRule="auto"/>
        <w:jc w:val="center"/>
        <w:rPr/>
      </w:pPr>
      <w:r w:rsidDel="00000000" w:rsidR="00000000" w:rsidRPr="00000000">
        <w:rPr>
          <w:rtl w:val="0"/>
        </w:rPr>
      </w:r>
    </w:p>
    <w:p w:rsidR="00000000" w:rsidDel="00000000" w:rsidP="00000000" w:rsidRDefault="00000000" w:rsidRPr="00000000" w14:paraId="0000002E">
      <w:pPr>
        <w:widowControl w:val="0"/>
        <w:jc w:val="both"/>
        <w:rPr>
          <w:sz w:val="28"/>
          <w:szCs w:val="28"/>
        </w:rPr>
      </w:pPr>
      <w:r w:rsidDel="00000000" w:rsidR="00000000" w:rsidRPr="00000000">
        <w:rPr>
          <w:sz w:val="28"/>
          <w:szCs w:val="28"/>
          <w:rtl w:val="0"/>
        </w:rPr>
        <w:t xml:space="preserve">вул. Гвардійців-Широнінців –– 5, 5-а, 5-б, 5-в, 7, 9, 9-а, 9-б, 11, 11-а, 11-б, 11-в, 13, 15/46.</w:t>
      </w:r>
    </w:p>
    <w:p w:rsidR="00000000" w:rsidDel="00000000" w:rsidP="00000000" w:rsidRDefault="00000000" w:rsidRPr="00000000" w14:paraId="0000002F">
      <w:pPr>
        <w:widowControl w:val="0"/>
        <w:jc w:val="both"/>
        <w:rPr>
          <w:sz w:val="28"/>
          <w:szCs w:val="28"/>
        </w:rPr>
      </w:pPr>
      <w:r w:rsidDel="00000000" w:rsidR="00000000" w:rsidRPr="00000000">
        <w:rPr>
          <w:sz w:val="28"/>
          <w:szCs w:val="28"/>
          <w:rtl w:val="0"/>
        </w:rPr>
        <w:t xml:space="preserve">вул. Івана Камишева –– 48–87, 43–102 (непарна сторона).</w:t>
      </w:r>
    </w:p>
    <w:p w:rsidR="00000000" w:rsidDel="00000000" w:rsidP="00000000" w:rsidRDefault="00000000" w:rsidRPr="00000000" w14:paraId="00000030">
      <w:pPr>
        <w:widowControl w:val="0"/>
        <w:jc w:val="both"/>
        <w:rPr>
          <w:sz w:val="28"/>
          <w:szCs w:val="28"/>
        </w:rPr>
      </w:pPr>
      <w:r w:rsidDel="00000000" w:rsidR="00000000" w:rsidRPr="00000000">
        <w:rPr>
          <w:sz w:val="28"/>
          <w:szCs w:val="28"/>
          <w:rtl w:val="0"/>
        </w:rPr>
        <w:t xml:space="preserve">вул. Істомінська.</w:t>
      </w:r>
    </w:p>
    <w:p w:rsidR="00000000" w:rsidDel="00000000" w:rsidP="00000000" w:rsidRDefault="00000000" w:rsidRPr="00000000" w14:paraId="00000031">
      <w:pPr>
        <w:widowControl w:val="0"/>
        <w:jc w:val="both"/>
        <w:rPr>
          <w:sz w:val="28"/>
          <w:szCs w:val="28"/>
        </w:rPr>
      </w:pPr>
      <w:r w:rsidDel="00000000" w:rsidR="00000000" w:rsidRPr="00000000">
        <w:rPr>
          <w:sz w:val="28"/>
          <w:szCs w:val="28"/>
          <w:rtl w:val="0"/>
        </w:rPr>
        <w:t xml:space="preserve">вул. Артема Веделя.</w:t>
      </w:r>
    </w:p>
    <w:p w:rsidR="00000000" w:rsidDel="00000000" w:rsidP="00000000" w:rsidRDefault="00000000" w:rsidRPr="00000000" w14:paraId="00000032">
      <w:pPr>
        <w:widowControl w:val="0"/>
        <w:jc w:val="both"/>
        <w:rPr>
          <w:sz w:val="28"/>
          <w:szCs w:val="28"/>
        </w:rPr>
      </w:pPr>
      <w:r w:rsidDel="00000000" w:rsidR="00000000" w:rsidRPr="00000000">
        <w:rPr>
          <w:sz w:val="28"/>
          <w:szCs w:val="28"/>
          <w:rtl w:val="0"/>
        </w:rPr>
        <w:t xml:space="preserve">пров. Банківський.</w:t>
      </w:r>
    </w:p>
    <w:p w:rsidR="00000000" w:rsidDel="00000000" w:rsidP="00000000" w:rsidRDefault="00000000" w:rsidRPr="00000000" w14:paraId="00000033">
      <w:pPr>
        <w:widowControl w:val="0"/>
        <w:jc w:val="both"/>
        <w:rPr>
          <w:sz w:val="28"/>
          <w:szCs w:val="28"/>
        </w:rPr>
      </w:pPr>
      <w:r w:rsidDel="00000000" w:rsidR="00000000" w:rsidRPr="00000000">
        <w:rPr>
          <w:sz w:val="28"/>
          <w:szCs w:val="28"/>
          <w:rtl w:val="0"/>
        </w:rPr>
        <w:t xml:space="preserve">пров. Істомінський 2-й.</w:t>
      </w:r>
    </w:p>
    <w:p w:rsidR="00000000" w:rsidDel="00000000" w:rsidP="00000000" w:rsidRDefault="00000000" w:rsidRPr="00000000" w14:paraId="00000034">
      <w:pPr>
        <w:widowControl w:val="0"/>
        <w:jc w:val="both"/>
        <w:rPr>
          <w:sz w:val="28"/>
          <w:szCs w:val="28"/>
        </w:rPr>
      </w:pPr>
      <w:r w:rsidDel="00000000" w:rsidR="00000000" w:rsidRPr="00000000">
        <w:rPr>
          <w:sz w:val="28"/>
          <w:szCs w:val="28"/>
          <w:rtl w:val="0"/>
        </w:rPr>
        <w:t xml:space="preserve">пров. Істомінський 1-й.</w:t>
      </w:r>
    </w:p>
    <w:p w:rsidR="00000000" w:rsidDel="00000000" w:rsidP="00000000" w:rsidRDefault="00000000" w:rsidRPr="00000000" w14:paraId="00000035">
      <w:pPr>
        <w:widowControl w:val="0"/>
        <w:jc w:val="both"/>
        <w:rPr>
          <w:sz w:val="28"/>
          <w:szCs w:val="28"/>
        </w:rPr>
      </w:pPr>
      <w:r w:rsidDel="00000000" w:rsidR="00000000" w:rsidRPr="00000000">
        <w:rPr>
          <w:sz w:val="28"/>
          <w:szCs w:val="28"/>
          <w:rtl w:val="0"/>
        </w:rPr>
        <w:t xml:space="preserve">пров. Істомінський.</w:t>
      </w:r>
    </w:p>
    <w:p w:rsidR="00000000" w:rsidDel="00000000" w:rsidP="00000000" w:rsidRDefault="00000000" w:rsidRPr="00000000" w14:paraId="00000036">
      <w:pPr>
        <w:widowControl w:val="0"/>
        <w:jc w:val="both"/>
        <w:rPr>
          <w:sz w:val="28"/>
          <w:szCs w:val="28"/>
        </w:rPr>
      </w:pPr>
      <w:r w:rsidDel="00000000" w:rsidR="00000000" w:rsidRPr="00000000">
        <w:rPr>
          <w:sz w:val="28"/>
          <w:szCs w:val="28"/>
          <w:rtl w:val="0"/>
        </w:rPr>
        <w:t xml:space="preserve">пров. Червоної Рути -  3-14.</w:t>
      </w:r>
    </w:p>
    <w:p w:rsidR="00000000" w:rsidDel="00000000" w:rsidP="00000000" w:rsidRDefault="00000000" w:rsidRPr="00000000" w14:paraId="00000037">
      <w:pPr>
        <w:widowControl w:val="0"/>
        <w:jc w:val="both"/>
        <w:rPr>
          <w:sz w:val="28"/>
          <w:szCs w:val="28"/>
        </w:rPr>
      </w:pPr>
      <w:r w:rsidDel="00000000" w:rsidR="00000000" w:rsidRPr="00000000">
        <w:rPr>
          <w:sz w:val="28"/>
          <w:szCs w:val="28"/>
          <w:rtl w:val="0"/>
        </w:rPr>
        <w:t xml:space="preserve">пров. Композиторський.</w:t>
      </w:r>
    </w:p>
    <w:p w:rsidR="00000000" w:rsidDel="00000000" w:rsidP="00000000" w:rsidRDefault="00000000" w:rsidRPr="00000000" w14:paraId="00000038">
      <w:pPr>
        <w:widowControl w:val="0"/>
        <w:jc w:val="both"/>
        <w:rPr>
          <w:sz w:val="28"/>
          <w:szCs w:val="28"/>
        </w:rPr>
      </w:pPr>
      <w:r w:rsidDel="00000000" w:rsidR="00000000" w:rsidRPr="00000000">
        <w:rPr>
          <w:sz w:val="28"/>
          <w:szCs w:val="28"/>
          <w:rtl w:val="0"/>
        </w:rPr>
        <w:t xml:space="preserve">просп. Ювілейний –– 32/186, 32-а, 34, 34-а, 34-б, 34-в, 34-г, 34-д, 36, 36-а, 38, 38-а, 38-б, 38-в, 38-г, 38-д, 40, 40-а,  42,  42-а, 42-б, 42-в, 44, 44-а, 48, 50, 52.</w:t>
      </w:r>
    </w:p>
    <w:p w:rsidR="00000000" w:rsidDel="00000000" w:rsidP="00000000" w:rsidRDefault="00000000" w:rsidRPr="00000000" w14:paraId="00000039">
      <w:pPr>
        <w:rPr/>
      </w:pPr>
      <w:r w:rsidDel="00000000" w:rsidR="00000000" w:rsidRPr="00000000">
        <w:rPr>
          <w:sz w:val="28"/>
          <w:szCs w:val="28"/>
          <w:rtl w:val="0"/>
        </w:rPr>
        <w:t xml:space="preserve">просп. Льва Ландау –– 150–178 (парна сторона).</w:t>
      </w: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sz w:val="20"/>
          <w:szCs w:val="20"/>
          <w:rtl w:val="0"/>
        </w:rPr>
        <w:t xml:space="preserve"> </w:t>
      </w:r>
      <w:r w:rsidDel="00000000" w:rsidR="00000000" w:rsidRPr="00000000">
        <w:rPr>
          <w:rtl w:val="0"/>
        </w:rPr>
      </w:r>
    </w:p>
    <w:sectPr>
      <w:headerReference r:id="rId12" w:type="default"/>
      <w:headerReference r:id="rId13" w:type="even"/>
      <w:type w:val="nextPage"/>
      <w:pgSz w:h="16838" w:w="11906" w:orient="portrait"/>
      <w:pgMar w:bottom="142" w:top="567" w:left="1134" w:right="849"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C72DB"/>
    <w:pPr>
      <w:spacing w:after="0"/>
      <w:jc w:val="left"/>
    </w:pPr>
    <w:rPr>
      <w:rFonts w:cs="Times New Roman" w:eastAsia="Times New Roman"/>
      <w:sz w:val="24"/>
      <w:szCs w:val="24"/>
      <w:lang w:eastAsia="ru-RU"/>
    </w:rPr>
  </w:style>
  <w:style w:type="paragraph" w:styleId="8">
    <w:name w:val="heading 8"/>
    <w:basedOn w:val="a"/>
    <w:next w:val="a"/>
    <w:link w:val="80"/>
    <w:unhideWhenUsed w:val="1"/>
    <w:qFormat w:val="1"/>
    <w:rsid w:val="0029576B"/>
    <w:pPr>
      <w:spacing w:after="60" w:before="240"/>
      <w:jc w:val="center"/>
      <w:outlineLvl w:val="7"/>
    </w:pPr>
    <w:rPr>
      <w:i w:val="1"/>
      <w:iCs w:val="1"/>
      <w:lang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80" w:customStyle="1">
    <w:name w:val="Заголовок 8 Знак"/>
    <w:basedOn w:val="a0"/>
    <w:link w:val="8"/>
    <w:rsid w:val="0029576B"/>
    <w:rPr>
      <w:rFonts w:cs="Times New Roman" w:eastAsia="Times New Roman"/>
      <w:i w:val="1"/>
      <w:iCs w:val="1"/>
      <w:sz w:val="24"/>
      <w:szCs w:val="24"/>
      <w:lang w:eastAsia="ru-RU" w:val="uk-UA"/>
    </w:rPr>
  </w:style>
  <w:style w:type="paragraph" w:styleId="a3">
    <w:name w:val="List Paragraph"/>
    <w:basedOn w:val="a"/>
    <w:uiPriority w:val="34"/>
    <w:qFormat w:val="1"/>
    <w:rsid w:val="0029576B"/>
    <w:pPr>
      <w:ind w:left="720"/>
      <w:contextualSpacing w:val="1"/>
      <w:jc w:val="center"/>
    </w:pPr>
  </w:style>
  <w:style w:type="paragraph" w:styleId="a4">
    <w:name w:val="header"/>
    <w:basedOn w:val="a"/>
    <w:link w:val="a5"/>
    <w:rsid w:val="001C72DB"/>
    <w:pPr>
      <w:tabs>
        <w:tab w:val="center" w:pos="4677"/>
        <w:tab w:val="right" w:pos="9355"/>
      </w:tabs>
    </w:pPr>
  </w:style>
  <w:style w:type="character" w:styleId="a5" w:customStyle="1">
    <w:name w:val="Верхний колонтитул Знак"/>
    <w:basedOn w:val="a0"/>
    <w:link w:val="a4"/>
    <w:rsid w:val="001C72DB"/>
    <w:rPr>
      <w:rFonts w:cs="Times New Roman" w:eastAsia="Times New Roman"/>
      <w:sz w:val="24"/>
      <w:szCs w:val="24"/>
      <w:lang w:eastAsia="ru-RU"/>
    </w:rPr>
  </w:style>
  <w:style w:type="character" w:styleId="a6">
    <w:name w:val="page number"/>
    <w:basedOn w:val="a0"/>
    <w:rsid w:val="001C72DB"/>
  </w:style>
  <w:style w:type="paragraph" w:styleId="a7">
    <w:name w:val="Balloon Text"/>
    <w:basedOn w:val="a"/>
    <w:link w:val="a8"/>
    <w:uiPriority w:val="99"/>
    <w:semiHidden w:val="1"/>
    <w:unhideWhenUsed w:val="1"/>
    <w:rsid w:val="001C72DB"/>
    <w:rPr>
      <w:rFonts w:ascii="Tahoma" w:cs="Tahoma" w:hAnsi="Tahoma"/>
      <w:sz w:val="16"/>
      <w:szCs w:val="16"/>
    </w:rPr>
  </w:style>
  <w:style w:type="character" w:styleId="a8" w:customStyle="1">
    <w:name w:val="Текст выноски Знак"/>
    <w:basedOn w:val="a0"/>
    <w:link w:val="a7"/>
    <w:uiPriority w:val="99"/>
    <w:semiHidden w:val="1"/>
    <w:rsid w:val="001C72DB"/>
    <w:rPr>
      <w:rFonts w:ascii="Tahoma" w:cs="Tahoma" w:eastAsia="Times New Roman" w:hAnsi="Tahoma"/>
      <w:sz w:val="16"/>
      <w:szCs w:val="16"/>
      <w:lang w:eastAsia="ru-RU"/>
    </w:rPr>
  </w:style>
  <w:style w:type="paragraph" w:styleId="a9">
    <w:name w:val="Plain Text"/>
    <w:basedOn w:val="a"/>
    <w:link w:val="aa"/>
    <w:rsid w:val="00550D00"/>
    <w:rPr>
      <w:rFonts w:ascii="Courier New" w:hAnsi="Courier New"/>
      <w:sz w:val="20"/>
      <w:szCs w:val="20"/>
      <w:lang w:eastAsia="uk-UA"/>
    </w:rPr>
  </w:style>
  <w:style w:type="character" w:styleId="aa" w:customStyle="1">
    <w:name w:val="Текст Знак"/>
    <w:basedOn w:val="a0"/>
    <w:link w:val="a9"/>
    <w:rsid w:val="00550D00"/>
    <w:rPr>
      <w:rFonts w:ascii="Courier New" w:cs="Times New Roman" w:eastAsia="Times New Roman" w:hAnsi="Courier New"/>
      <w:sz w:val="20"/>
      <w:szCs w:val="20"/>
      <w:lang w:eastAsia="uk-UA"/>
    </w:rPr>
  </w:style>
  <w:style w:type="paragraph" w:styleId="ab">
    <w:name w:val="footer"/>
    <w:basedOn w:val="a"/>
    <w:link w:val="ac"/>
    <w:uiPriority w:val="99"/>
    <w:unhideWhenUsed w:val="1"/>
    <w:rsid w:val="004778DD"/>
    <w:pPr>
      <w:tabs>
        <w:tab w:val="center" w:pos="4677"/>
        <w:tab w:val="right" w:pos="9355"/>
      </w:tabs>
    </w:pPr>
  </w:style>
  <w:style w:type="character" w:styleId="ac" w:customStyle="1">
    <w:name w:val="Нижний колонтитул Знак"/>
    <w:basedOn w:val="a0"/>
    <w:link w:val="ab"/>
    <w:uiPriority w:val="99"/>
    <w:rsid w:val="004778DD"/>
    <w:rPr>
      <w:rFonts w:cs="Times New Roman" w:eastAsia="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rolhJVFAn6D9mwhJNxj2u3QXQ==">CgMxLjAyCGguZ2pkZ3hzOAByITFhZWh2MUhOQkxLNGV2RjFtdHNhMGVGcVdHdlJVS0RTdA==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2024-10-15T11:41:00Z</dcterms:created>
  <dc:creator>XTreme.ws</dc:creator>
</cp:coreProperties>
</file>